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45" w:rsidRPr="003B0B45" w:rsidRDefault="003B0B45" w:rsidP="003B0B45">
      <w:pPr>
        <w:spacing w:before="158" w:after="158" w:line="240" w:lineRule="auto"/>
        <w:ind w:firstLine="237"/>
        <w:jc w:val="center"/>
        <w:rPr>
          <w:rFonts w:eastAsia="Times New Roman" w:cs="Times New Roman"/>
          <w:sz w:val="24"/>
          <w:szCs w:val="24"/>
          <w:lang w:eastAsia="vi-VN"/>
        </w:rPr>
      </w:pPr>
      <w:r w:rsidRPr="003B0B45">
        <w:rPr>
          <w:rFonts w:ascii="Arial" w:eastAsia="Times New Roman" w:hAnsi="Arial" w:cs="Arial"/>
          <w:b/>
          <w:bCs/>
          <w:sz w:val="24"/>
          <w:szCs w:val="24"/>
          <w:lang w:eastAsia="vi-VN"/>
        </w:rPr>
        <w:t>Nghị định của Chính phủ số 185/2004/NĐ-CP ngày 04/11/2004 về xử phạt vi phạm hành chính trong lĩnh vực kế toán</w:t>
      </w:r>
    </w:p>
    <w:p w:rsidR="003B0B45" w:rsidRPr="003B0B45" w:rsidRDefault="003B0B45" w:rsidP="003B0B45">
      <w:pPr>
        <w:spacing w:before="158" w:after="158" w:line="240" w:lineRule="auto"/>
        <w:ind w:firstLine="237"/>
        <w:jc w:val="center"/>
        <w:rPr>
          <w:rFonts w:eastAsia="Times New Roman" w:cs="Times New Roman"/>
          <w:sz w:val="24"/>
          <w:szCs w:val="24"/>
          <w:lang w:eastAsia="vi-VN"/>
        </w:rPr>
      </w:pPr>
      <w:r w:rsidRPr="003B0B45">
        <w:rPr>
          <w:rFonts w:ascii="Arial" w:eastAsia="Times New Roman" w:hAnsi="Arial" w:cs="Arial"/>
          <w:color w:val="000080"/>
          <w:spacing w:val="24"/>
          <w:sz w:val="20"/>
          <w:szCs w:val="20"/>
          <w:lang w:eastAsia="vi-VN"/>
        </w:rPr>
        <w:t>CHÍNH PHỦ</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i/>
          <w:iCs/>
          <w:color w:val="000080"/>
          <w:sz w:val="20"/>
          <w:szCs w:val="20"/>
          <w:lang w:eastAsia="vi-VN"/>
        </w:rPr>
        <w:t>Căn cứ Luật Tổ chức Chính phủ ngày 25 tháng 12 năm 2001;</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i/>
          <w:iCs/>
          <w:color w:val="000080"/>
          <w:sz w:val="20"/>
          <w:szCs w:val="20"/>
          <w:lang w:eastAsia="vi-VN"/>
        </w:rPr>
        <w:t>Căn cứ Luật Kế toán ngày 17 tháng 6 năm 2003;</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i/>
          <w:iCs/>
          <w:color w:val="000080"/>
          <w:sz w:val="20"/>
          <w:szCs w:val="20"/>
          <w:lang w:eastAsia="vi-VN"/>
        </w:rPr>
        <w:t>Căn cứ Pháp lệnh Xử lý vi phạm hành chính ngày 02 tháng 7 năm 2002;</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i/>
          <w:iCs/>
          <w:color w:val="000080"/>
          <w:sz w:val="20"/>
          <w:szCs w:val="20"/>
          <w:lang w:eastAsia="vi-VN"/>
        </w:rPr>
        <w:t>Theo đề nghị của Bộ trưởng Bộ Tài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sz w:val="20"/>
          <w:szCs w:val="20"/>
          <w:lang w:eastAsia="vi-VN"/>
        </w:rPr>
        <w:t> </w:t>
      </w:r>
    </w:p>
    <w:p w:rsidR="003B0B45" w:rsidRPr="003B0B45" w:rsidRDefault="003B0B45" w:rsidP="003B0B45">
      <w:pPr>
        <w:spacing w:before="158" w:after="158" w:line="240" w:lineRule="auto"/>
        <w:ind w:firstLine="237"/>
        <w:jc w:val="center"/>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NGHỊ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jc w:val="center"/>
        <w:rPr>
          <w:rFonts w:eastAsia="Times New Roman" w:cs="Times New Roman"/>
          <w:sz w:val="24"/>
          <w:szCs w:val="24"/>
          <w:lang w:eastAsia="vi-VN"/>
        </w:rPr>
      </w:pPr>
      <w:r w:rsidRPr="003B0B45">
        <w:rPr>
          <w:rFonts w:ascii="Arial" w:eastAsia="Times New Roman" w:hAnsi="Arial" w:cs="Arial"/>
          <w:b/>
          <w:bCs/>
          <w:color w:val="000080"/>
          <w:spacing w:val="28"/>
          <w:sz w:val="20"/>
          <w:szCs w:val="20"/>
          <w:u w:val="single"/>
          <w:lang w:eastAsia="vi-VN"/>
        </w:rPr>
        <w:t>CHƯƠNG I:</w:t>
      </w:r>
      <w:r w:rsidRPr="003B0B45">
        <w:rPr>
          <w:rFonts w:ascii="Arial" w:eastAsia="Times New Roman" w:hAnsi="Arial" w:cs="Arial"/>
          <w:b/>
          <w:bCs/>
          <w:color w:val="000080"/>
          <w:spacing w:val="28"/>
          <w:sz w:val="20"/>
          <w:szCs w:val="20"/>
          <w:lang w:eastAsia="vi-VN"/>
        </w:rPr>
        <w:t xml:space="preserve"> NHỮNG QUY ĐỊNH CHUNG</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1.</w:t>
      </w:r>
      <w:r w:rsidRPr="003B0B45">
        <w:rPr>
          <w:rFonts w:ascii="Arial" w:eastAsia="Times New Roman" w:hAnsi="Arial" w:cs="Arial"/>
          <w:color w:val="000080"/>
          <w:sz w:val="20"/>
          <w:szCs w:val="20"/>
          <w:lang w:eastAsia="vi-VN"/>
        </w:rPr>
        <w:t xml:space="preserve"> Phạm vi và đối tượng áp dụng</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1. Nghị định này quy định việc xử phạt vi phạm hành chính đối với cá nhân, cơ quan, tổ chức trong nước và nước ngoài hoạt động tại Việt Nam (sau đây gọi chung là cá nhân, tổ chức) có hành vi cố ý hoặc vô ý vi phạm các quy định của pháp luật về kế toán mà không phải là tội phạm và theo quy định của Nghị định này phải bị xử phạt vi phạm hành chính, trừ trường hợp Điều ước quốc tế mà Cộng hoà xã hội chủ nghĩa Việt Nam ký kết hoặc gia nhập có quy định khác.</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2. Vi phạm hành chính trong lĩnh vực kế toán bao gồm:</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Vi phạm quy định về chứng từ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Vi phạm quy định về sổ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Vi phạm quy định về tài khoản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d) Vi phạm quy định về báo cáo tài chính và công khai báo cáo tài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đ) Vi phạm quy định về kiểm tra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e) Vi phạm quy định về bảo quản, lưu trữ tài liệu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g) Vi phạm quy định về kiểm kê tài sản;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h) Vi phạm quy định về tổ chức bộ máy kế toán, bố trí người làm kế toán hoặc thuê làm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i) Vi phạm quy định về hành nghề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k) Vi phạm quy định về áp dụng chuẩn mực kế toán, chế độ kế toán và các quy định khác.</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4"/>
          <w:sz w:val="20"/>
          <w:szCs w:val="20"/>
          <w:lang w:eastAsia="vi-VN"/>
        </w:rPr>
        <w:t xml:space="preserve">Điều 2. </w:t>
      </w:r>
      <w:r w:rsidRPr="003B0B45">
        <w:rPr>
          <w:rFonts w:ascii="Arial" w:eastAsia="Times New Roman" w:hAnsi="Arial" w:cs="Arial"/>
          <w:color w:val="000080"/>
          <w:spacing w:val="-4"/>
          <w:sz w:val="20"/>
          <w:szCs w:val="20"/>
          <w:lang w:eastAsia="vi-VN"/>
        </w:rPr>
        <w:t>Nguyên tắc xử phạt vi phạm hành chính trong lĩnh vực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Nguyên tắc xử phạt vi phạm hành chính trong lĩnh vực kế toán được thực hiện theo quy định tại Điều 3 của Pháp lệnh Xử lý vi phạm hành chính </w:t>
      </w:r>
      <w:r w:rsidRPr="003B0B45">
        <w:rPr>
          <w:rFonts w:ascii="Arial" w:eastAsia="Times New Roman" w:hAnsi="Arial" w:cs="Arial"/>
          <w:color w:val="000080"/>
          <w:spacing w:val="-8"/>
          <w:sz w:val="20"/>
          <w:szCs w:val="20"/>
          <w:lang w:eastAsia="vi-VN"/>
        </w:rPr>
        <w:t>ngày 02 tháng 7 năm 2002 (sau đây gọi tắt là Pháp lệnh Xử lý vi phạm hành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3.</w:t>
      </w:r>
      <w:r w:rsidRPr="003B0B45">
        <w:rPr>
          <w:rFonts w:ascii="Arial" w:eastAsia="Times New Roman" w:hAnsi="Arial" w:cs="Arial"/>
          <w:color w:val="000080"/>
          <w:sz w:val="20"/>
          <w:szCs w:val="20"/>
          <w:lang w:eastAsia="vi-VN"/>
        </w:rPr>
        <w:t xml:space="preserve"> Thời hiệu xử phạt vi phạm hành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1. Thời hiệu xử phạt vi phạm hành chính trong lĩnh vực kế toán là 02 năm, kể từ ngày hành vi vi phạm hành chính được thực hiện.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2. Cá nhân đã bị khởi tố, truy tố hoặc đã có quyết định đưa ra xét xử theo thủ tục tố tụng hình sự, nhưng sau đó có quyết định đình chỉ điều tra hoặc đình chỉ vụ án mà hành vi vi phạm có dấu hiệu vi phạm hành chính trong lĩnh vực kế toán thì bị xử phạt hành chính theo quy định của Nghị định này. Trường hợp này thời hiệu xử phạt vi phạm hành chính là 03 tháng, kể từ ngày người có </w:t>
      </w:r>
      <w:r w:rsidRPr="003B0B45">
        <w:rPr>
          <w:rFonts w:ascii="Arial" w:eastAsia="Times New Roman" w:hAnsi="Arial" w:cs="Arial"/>
          <w:color w:val="000080"/>
          <w:sz w:val="20"/>
          <w:szCs w:val="20"/>
          <w:lang w:eastAsia="vi-VN"/>
        </w:rPr>
        <w:lastRenderedPageBreak/>
        <w:t>thẩm quyền xử phạt nhận được quyết định đình chỉ điều tra hoặc đình chỉ khởi tố và hồ sơ vụ vi phạm.</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3. Trong thời hạn quy định tại khoản 1, khoản 2 Điều này mà cá nhân, tổ chức lại thực hiện vi phạm hành chính mới trong lĩnh vực kế toán hoặc cố tình trốn tránh, cản trở việc xử phạt thì không áp dụng thời hiệu quy định tại khoản 1 và khoản 2 Điều này; thời hiệu xử phạt vi phạm hành chính được tính lại kể từ thời điểm thực hiện vi phạm hành chính mới hoặc thời điểm chấm dứt hành vi trốn tránh, cản trở việc xử phạt.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4. Người có thẩm quyền xử phạt nếu để quá thời hiệu xử phạt vi phạm hành chính thì bị xử lý theo quy định tại Điều 121 của Pháp lệnh Xử lý vi phạm hành chính.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4.</w:t>
      </w:r>
      <w:r w:rsidRPr="003B0B45">
        <w:rPr>
          <w:rFonts w:ascii="Arial" w:eastAsia="Times New Roman" w:hAnsi="Arial" w:cs="Arial"/>
          <w:color w:val="000080"/>
          <w:sz w:val="20"/>
          <w:szCs w:val="20"/>
          <w:lang w:eastAsia="vi-VN"/>
        </w:rPr>
        <w:t xml:space="preserve"> Thời hạn được coi là chưa bị xử phạt vi phạm hành chính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Cá nhân, tổ chức bị xử phạt vi phạm hành chính trong lĩnh vực kế toán, nếu quá một năm, kể từ ngày chấp hành xong quyết định xử phạt hoặc từ ngày hết thời hiệu thi hành quyết định xử phạt mà không tái phạm thì được coi như chưa bị xử phạt vi phạm hành chính trong lĩnh vực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4"/>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5.</w:t>
      </w:r>
      <w:r w:rsidRPr="003B0B45">
        <w:rPr>
          <w:rFonts w:ascii="Arial" w:eastAsia="Times New Roman" w:hAnsi="Arial" w:cs="Arial"/>
          <w:color w:val="000080"/>
          <w:spacing w:val="-4"/>
          <w:sz w:val="20"/>
          <w:szCs w:val="20"/>
          <w:lang w:eastAsia="vi-VN"/>
        </w:rPr>
        <w:t xml:space="preserve"> Hình thức xử phạt vi phạm hành chính trong lĩnh vực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1. Mỗi hành vi vi phạm hành chính trong lĩnh vực kế toán, cá nhân, tổ chức phải chịu một trong các hình thức xử phạt chính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Cảnh cáo;</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Phạt tiền từ 200.000 đồng đến 20.000.000 đồng.</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2. Tùy theo tính chất, mức độ vi phạm, cá nhân, tổ chức vi phạm còn có thể bị áp dụng hình thức xử phạt bổ sung quy định tại khoản 4 Điều 7, khoản 5 Điều 8, khoản 2 Điều 15 của Nghị định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3. Ngoài hình thức xử phạt quy định tại khoản 1 và khoản 2 Điều này, cá nhân, tổ chức vi phạm còn có thể bị áp dụng một hoặc các biện pháp khắc phục hậu quả quy định tại khoản 5 Điều 7, khoản 6 Điều 8, khoản 3 Điều 9, khoản 3 Điều 10, khoản 3 Điều 14, khoản 3 Điều 15, khoản 3 Điều 16 của Nghị định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4. Khi phạt tiền, mức tiền phạt cụ thể đối với một hành vi vi phạm hành chính là mức trung bình của khung tiền phạt được quy định tại Chương II của Nghị định này đối với hành vi đó; nếu có tình tiết giảm nhẹ thì mức tiền phạt có thể giảm xuống, nhưng không được giảm quá mức tối thiểu của khung tiền phạt; nếu có tình tiết tăng nặng thì mức tiền phạt có thể tăng lên nhưng không được quá mức tối đa của khung tiền phạt.</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6.</w:t>
      </w:r>
      <w:r w:rsidRPr="003B0B45">
        <w:rPr>
          <w:rFonts w:ascii="Arial" w:eastAsia="Times New Roman" w:hAnsi="Arial" w:cs="Arial"/>
          <w:color w:val="000080"/>
          <w:sz w:val="20"/>
          <w:szCs w:val="20"/>
          <w:lang w:eastAsia="vi-VN"/>
        </w:rPr>
        <w:t xml:space="preserve"> Tình tiết giảm nhẹ, tăng nặng khi xử phạt vi phạm hành chính trong lĩnh vực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1. Tình tiết giảm nhẹ:</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Cá nhân, tổ chức vi phạm hành chính đã chủ động ngăn chặn, làm giảm bớt tác hại của vi phạm hoặc đã tự nguyện khắc phục hậu quả, bồi thường thiệt hại;</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Người vi phạm hành chính đã tự nguyện khai báo, thành thật hối lỗi;</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Vi phạm trong hoàn cảnh bị ép buộc hoặc bị lệ thuộc về vật chất hoặc tinh thần;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d) Vi phạm do lỗi vô ý;</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đ) Vi phạm lần đầu;</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e) Vi phạm vì hoàn cảnh đặc biệt khó khăn mà không do mình gây ra.</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2. Tình tiết tăng nặng:</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Vi phạm có tổ chức;</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Vi phạm nhiều lần hoặc tái phạm;</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Xúi giục, lôi kéo hoặc ép buộc người phụ thuộc vào mình về vật chất, tinh thần để vi phạm;</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d) Lợi dụng chức vụ, quyền hạn để vi phạm;</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lastRenderedPageBreak/>
        <w:t>    đ) Lợi dụng hoàn cảnh chiến tranh, thiên tai hoặc khó khăn đặc biệt khác của xã hội để vi phạm;</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e) Vi phạm trong thời hạn đang chấp hành quyết định xử phạt hành chính hoặc bản án hình sự;</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g) Sau khi vi phạm đã có hành vi trốn tránh, che dấu vi phạm hành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jc w:val="center"/>
        <w:rPr>
          <w:rFonts w:eastAsia="Times New Roman" w:cs="Times New Roman"/>
          <w:sz w:val="24"/>
          <w:szCs w:val="24"/>
          <w:lang w:eastAsia="vi-VN"/>
        </w:rPr>
      </w:pPr>
      <w:r w:rsidRPr="003B0B45">
        <w:rPr>
          <w:rFonts w:ascii="Arial" w:eastAsia="Times New Roman" w:hAnsi="Arial" w:cs="Arial"/>
          <w:b/>
          <w:bCs/>
          <w:color w:val="000080"/>
          <w:spacing w:val="28"/>
          <w:sz w:val="20"/>
          <w:szCs w:val="20"/>
          <w:u w:val="single"/>
          <w:lang w:eastAsia="vi-VN"/>
        </w:rPr>
        <w:t>CHƯƠNG II:</w:t>
      </w:r>
      <w:r w:rsidRPr="003B0B45">
        <w:rPr>
          <w:rFonts w:ascii="Arial" w:eastAsia="Times New Roman" w:hAnsi="Arial" w:cs="Arial"/>
          <w:b/>
          <w:bCs/>
          <w:color w:val="000080"/>
          <w:spacing w:val="28"/>
          <w:sz w:val="20"/>
          <w:szCs w:val="20"/>
          <w:lang w:eastAsia="vi-VN"/>
        </w:rPr>
        <w:t xml:space="preserve"> HÀNH VI VI PHẠM, HÌNH THỨC XỬ PHẠT VÀ MỨC XỬ PHẠT</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7.</w:t>
      </w:r>
      <w:r w:rsidRPr="003B0B45">
        <w:rPr>
          <w:rFonts w:ascii="Arial" w:eastAsia="Times New Roman" w:hAnsi="Arial" w:cs="Arial"/>
          <w:color w:val="000080"/>
          <w:sz w:val="20"/>
          <w:szCs w:val="20"/>
          <w:lang w:eastAsia="vi-VN"/>
        </w:rPr>
        <w:t xml:space="preserve"> Vi phạm quy định về chứng từ kế toán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1. Phạt tiền từ 200.000 đồng đến 1.000.000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Lập chứng từ kế toán không đầy đủ các nội dung chủ yếu theo quy định của pháp luật về kế toán (dưới đây gọi tắt là theo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Tẩy xoá, sửa chữa chứng từ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2. Phạt tiền từ 1.000.000 đồng đến 5.000.000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Lập chứng từ kế toán không đủ số liên theo quy định của mỗi loại chứng từ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Ký chứng từ kế toán khi chưa ghi đủ nội dung chứng từ thuộc trách nhiệm của người ký;</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Ký chứng từ kế toán mà không có thẩm quyền ký hoặc không được ủy quyền ký;</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d) Lập hoá đơn bán hàng nhưng không giao hoá đơn bán hàng cho khách hàng theo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3. Phạt tiền từ 5.000.000 đồng đến 20.000.000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    a) Giả mạo, khai man chứng từ kế toán;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6"/>
          <w:sz w:val="20"/>
          <w:szCs w:val="20"/>
          <w:lang w:eastAsia="vi-VN"/>
        </w:rPr>
        <w:t>    b) Thoả thuận hoặc ép buộc người khác giả mạo, khai man chứng từ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Lập chứng từ kế toán có nội dung các liên không giống nhau trong trường hợp phải lập chứng từ kế toán có nhiều liên cho một nghiệp vụ kinh tế, tài chính phát sinh;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d) Bán hàng hoá hoặc cung cấp dịch vụ không lập hoá đơn bán hàng theo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đ) Không lập chứng từ kế toán khi nghiệp vụ kinh tế, tài chính phát sinh;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e) Cố ý lập nhiều lần chứng từ kế toán cho một nghiệp vụ kinh tế, tài chính phát sinh;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g) Huỷ bỏ hoặc cố ý làm hư hỏng chứng từ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4. Hình thức xử phạt bổ sung:</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Tịch thu chứng từ kế toán đối với hành vi vi phạm quy định tại điểm a, b khoản 3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Tước quyền sử dụng Chứng chỉ hành nghề kế toán đối với người hành nghề vi phạm quy định tại điểm a, b, c, đ, e, g khoản 3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5. áp dụng biện pháp khắc phục hậu quả:</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Buộc phải lập chứng từ kế toán cho nghiệp vụ kinh tế, tài chính đã phát sinh đối với vi phạm quy định tại điểm đ khoản 3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Buộc phải khôi phục lại các chứng từ kế toán theo đúng thực tế, đúng quy định đối với các vi phạm quy định tại các điểm a, b khoản 1, điểm a, b, c khoản 2 và điểm c, d, g khoản 3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Buộc phải huỷ các chứng từ kế toán đã lập trùng lặp cho một nghiệp vụ quy định tại điểm e khoản 3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8.</w:t>
      </w:r>
      <w:r w:rsidRPr="003B0B45">
        <w:rPr>
          <w:rFonts w:ascii="Arial" w:eastAsia="Times New Roman" w:hAnsi="Arial" w:cs="Arial"/>
          <w:color w:val="000080"/>
          <w:sz w:val="20"/>
          <w:szCs w:val="20"/>
          <w:lang w:eastAsia="vi-VN"/>
        </w:rPr>
        <w:t xml:space="preserve"> Vi phạm quy định về sổ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1. Phạt tiền từ 200.000 đồng đến 2.000.000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lastRenderedPageBreak/>
        <w:t>    a) Lập sổ kế toán không đầy đủ các nội dung theo quy định như: không ghi tên đơn vị kế toán, tên sổ, ngày, tháng, năm lập sổ; ngày, tháng, năm khoá sổ; thiếu chữ ký theo quy định; không đánh số trang, không đóng dấu giáp lai giữa các trang trên sổ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Ghi sổ kế toán không đầy đủ nội dung chủ yếu theo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Vi phạm các quy định về ghi sổ kế toán như ghi chồng lên nhau, ghi cách dòng; không gạch chéo phần trang sổ không ghi; không thực hiện việc cộng số liệu tổng cộng khi ghi hết trang sổ, không thực hiện việc chuyển số liệu tổng cộng trang sổ trước sang đầu trang sổ kế tiếp;</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d) Không đóng thành quyển sổ riêng cho từng kỳ kế toán và thực hiện các thủ tục pháp lý sau khi in sổ ra giấy trong trường hợp thực hiện kế toán trên máy vi tính.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2. Phạt tiền từ 2.000.000 đồng đến 5.000.000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Mở sổ kế toán không theo đúng nguyên tắc chung của một trong các hình thức sổ kế toán theo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Ghi sổ kế toán không tuân thủ phương pháp quy định của chuẩn mực kế toán và chế độ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Ghi sổ, khóa sổ kế toán không kịp thời theo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4"/>
          <w:sz w:val="20"/>
          <w:szCs w:val="20"/>
          <w:lang w:eastAsia="vi-VN"/>
        </w:rPr>
        <w:t>    d) Sửa chữa sai sót trên sổ kế toán không theo đúng phương pháp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3. Phạt tiền từ 5.000.000 đồng đến 10.000.000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Không thực hiện việc mở sổ kế toán vào đầu kỳ kế toán năm hoặc từ ngày thành lập đơn vị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Không có chứng từ kế toán chứng minh các thông tin, số liệu ghi trên sổ kế toán hoặc số liệu trên sổ kế toán không đúng với chứng từ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Thông tin, số liệu ghi trên sổ kế toán của năm thực hiện không kế tiếp thông tin, số liệu ghi trên sổ kế toán năm trước liền kề hoặc sổ kế toán ghi không liên tục từ khi mở sổ đến khi khoá sổ;</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d) Không thực hiện việc khoá sổ kế toán trong các trường hợp mà pháp luật về kế toán quy định phải khoá sổ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đ) Không in sổ kế toán ra giấy sau khi khoá sổ trên máy vi tính.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4. Phạt tiền từ 10.000.000 đồng đến 20.000.000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    a) Mở sổ kế toán ngoài hệ thống sổ kế toán chính thức của đơn vị;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Giả mạo sổ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Thỏa thuận hoặc ép buộc người khác giả mạo sổ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d) Cố ý để ngoài sổ kế toán tài sản của đơn vị hoặc tài sản có liên quan đến đơn vị;</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đ) Huỷ bỏ trước hạn hoặc cố ý làm hư hỏng sổ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5. Hình thức xử phạt bổ sung: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    a) Tịch thu sổ kế toán đối với vi phạm quy định tại điểm a, b, c khoản 4 Điều này;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Tước quyền sử dụng Chứng chỉ hành nghề kế toán đối với người hành nghề vi phạm quy định tại điểm a, b, c, d, đ khoản 4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6. áp dụng biện pháp khắc phục hậu quả:</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Buộc phải bổ sung đầy đủ các nội dung của sổ kế toán đối với vi phạm quy định tại điểm a, b, c khoản 1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Buộc phải khôi phục lại hoặc thực hiện theo đúng quy định của pháp luật đối với các vi phạm quy định tại điểm d khoản 1, khoản 2, 3 và điểm b, c, d, đ khoản 4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9.</w:t>
      </w:r>
      <w:r w:rsidRPr="003B0B45">
        <w:rPr>
          <w:rFonts w:ascii="Arial" w:eastAsia="Times New Roman" w:hAnsi="Arial" w:cs="Arial"/>
          <w:color w:val="000080"/>
          <w:sz w:val="20"/>
          <w:szCs w:val="20"/>
          <w:lang w:eastAsia="vi-VN"/>
        </w:rPr>
        <w:t xml:space="preserve"> Vi phạm quy định về tài khoản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1. Phạt tiền từ 1.000.000 đồng đến 5.000.000 đồng đối với một trong các hành vi sau đây: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Hạch toán không theo đúng nội dung quy định của tài khoản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lastRenderedPageBreak/>
        <w:t>    b) Sửa đổi nội dung, phương pháp hạch toán của tài khoản kế toán do Bộ Tài chính ban hành hoặc mở thêm tài khoản kế toán trong hệ thống tài khoản kế toán cấp I đã lựa chọn không được Bộ Tài chính chấp nhận.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2. Phạt tiền từ 5.000.000 đồng đến 10.000.000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Không áp dụng đúng hệ thống tài khoản kế toán quy định cho ngành và lĩnh vực hoạt động của đơn vị;</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10"/>
          <w:sz w:val="20"/>
          <w:szCs w:val="20"/>
          <w:lang w:eastAsia="vi-VN"/>
        </w:rPr>
        <w:t>     b) Không thực hiện đúng hệ thống tài khoản đã được Bộ Tài chính chấp thuận.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3. áp dụng biện pháp khắc phục hậu quả:</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Buộc phải hạch toán đúng nội dung, phương pháp, hệ thống tài khoản kế toán đối với vi phạm tại điểm a khoản 1 và khoản 2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Đình chỉ việc sử dụng tài khoản kế toán đối với vi phạm tại điểm b khoản 1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10.</w:t>
      </w:r>
      <w:r w:rsidRPr="003B0B45">
        <w:rPr>
          <w:rFonts w:ascii="Arial" w:eastAsia="Times New Roman" w:hAnsi="Arial" w:cs="Arial"/>
          <w:color w:val="000080"/>
          <w:sz w:val="20"/>
          <w:szCs w:val="20"/>
          <w:lang w:eastAsia="vi-VN"/>
        </w:rPr>
        <w:t xml:space="preserve"> Vi phạm quy định về báo cáo tài chính và công khai báo cáo tài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1. Phạt tiền từ 5.000.000 đồng đến 10.000.000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Lập báo cáo tài chính không đầy đủ nội dung theo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Lập và trình bày báo cáo tài chính không đúng phương pháp; không rõ ràng; không nhất quán theo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Nộp báo cáo tài chính cho cơ quan nhà nước có thẩm quyền chậm từ 01 tháng đến 03 tháng theo thời hạn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d) Công khai báo cáo tài chính không đầy đủ nội dung theo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đ) Công khai báo cáo tài chính chậm từ 01 tháng đến 03 tháng theo thời hạn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2. Phạt tiền từ 10.000.000 đồng đến 20.000.000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Nộp báo cáo tài chính cho cơ quan nhà nước có thẩm quyền chậm quá 3 tháng theo thời hạn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Lập báo cáo tài chính không đúng với số liệu trên sổ kế toán và chứng từ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Giả mạo báo cáo tài chính, khai man số liệu trên báo cáo tài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d) Thoả thuận hoặc ép buộc người khác giả mạo báo cáo tài chính, khai man số liệu trên báo cáo tài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đ) Cố ý, thoả thuận hoặc ép buộc người khác cung cấp, xác nhận thông tin, số liệu kế toán sai sự thật;</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e) Thực hiện việc công khai báo cáo tài chính chậm quá 3 tháng theo thời hạn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g) Thông tin, số liệu công khai báo cáo tài chính sai sự thật.</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3. áp dụng biện pháp khắc phục hậu quả: buộc phải thực hiện đúng quy định của pháp luật về kế toán đối với hành vi vi phạm quy định tại khoản 1, khoản 2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11.</w:t>
      </w:r>
      <w:r w:rsidRPr="003B0B45">
        <w:rPr>
          <w:rFonts w:ascii="Arial" w:eastAsia="Times New Roman" w:hAnsi="Arial" w:cs="Arial"/>
          <w:color w:val="000080"/>
          <w:sz w:val="20"/>
          <w:szCs w:val="20"/>
          <w:lang w:eastAsia="vi-VN"/>
        </w:rPr>
        <w:t xml:space="preserve"> Vi phạm quy định về kiểm tra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Phạt tiền từ 5.000.000 đồng đến 10.000.000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6"/>
          <w:sz w:val="20"/>
          <w:szCs w:val="20"/>
          <w:lang w:eastAsia="vi-VN"/>
        </w:rPr>
        <w:t>    a) Không chấp hành quyết định kiểm tra kế toán của cơ quan có thẩm quyền;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Gây cản trở công việc kiểm tra của đoàn kiểm tra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Không cung cấp hoặc cung cấp không đầy đủ cho đoàn kiểm tra các tài liệu kế toán liên quan đến nội dung kiểm tra;</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6"/>
          <w:sz w:val="20"/>
          <w:szCs w:val="20"/>
          <w:lang w:eastAsia="vi-VN"/>
        </w:rPr>
        <w:t xml:space="preserve">    d) Không thực hiện hoặc thực hiện không đầy đủ kết luận của đoàn kiểm tra;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đ) Ba năm liên tục không thực hiện kiểm tra kế toán đối với đơn vị kế toán cấp dưới.</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lastRenderedPageBreak/>
        <w:t>Điều 12.</w:t>
      </w:r>
      <w:r w:rsidRPr="003B0B45">
        <w:rPr>
          <w:rFonts w:ascii="Arial" w:eastAsia="Times New Roman" w:hAnsi="Arial" w:cs="Arial"/>
          <w:color w:val="000080"/>
          <w:sz w:val="20"/>
          <w:szCs w:val="20"/>
          <w:lang w:eastAsia="vi-VN"/>
        </w:rPr>
        <w:t xml:space="preserve"> Vi phạm quy định về bảo quản, lưu trữ tài liệu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1. Phạt tiền từ 2.000.000 đồng đến 5.000.000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8"/>
          <w:sz w:val="20"/>
          <w:szCs w:val="20"/>
          <w:lang w:eastAsia="vi-VN"/>
        </w:rPr>
        <w:t>    a) Đưa tài liệu kế toán vào lưu trữ chậm quá 12 tháng so với thời hạn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Lưu trữ tài liệu kế toán không đầy đủ theo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Bảo quản tài liệu kế toán không an toàn, để hư hỏng, mất mát tài liệu trong thời hạn lưu trữ.</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2. Phạt tiền từ 5.000.000 đồng đến 10.000.000 đồng đối với một trong các hành vi sau đây: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Sử dụng tài liệu kế toán trong thời hạn lưu trữ không đúng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Không thực hiện các thủ tục để phục hồi tài liệu kế toán bị mất mát hoặc bị huỷ hoại.</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3. Phạt tiền từ 10.000.000 đồng đến 20.000.000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Hủy bỏ tài liệu kế toán khi chưa hết thời hạn lưu trữ theo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4"/>
          <w:sz w:val="20"/>
          <w:szCs w:val="20"/>
          <w:lang w:eastAsia="vi-VN"/>
        </w:rPr>
        <w:t>    b) Tiêu hủy tài liệu kế toán không thành lập Hội đồng tiêu hủy, không thực hiện đúng phương pháp tiêu hủy và không lập biên bản tiêu hủy theo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13.</w:t>
      </w:r>
      <w:r w:rsidRPr="003B0B45">
        <w:rPr>
          <w:rFonts w:ascii="Arial" w:eastAsia="Times New Roman" w:hAnsi="Arial" w:cs="Arial"/>
          <w:color w:val="000080"/>
          <w:sz w:val="20"/>
          <w:szCs w:val="20"/>
          <w:lang w:eastAsia="vi-VN"/>
        </w:rPr>
        <w:t xml:space="preserve"> Vi phạm quy định về kiểm kê tài sản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1. Phạt tiền từ 1.000.000 đồng đến 3.000.000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Không lập báo cáo tổng hợp kết quả kiểm kê theo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Không xác định nguyên nhân chênh lệch; không phản ảnh số chênh lệch và kết quả xử lý số chênh lệch giữa số liệu kiểm kê thực tế với số liệu sổ kế toán vào sổ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2. Phạt tiền từ 3.000.000 đồng đến 5.000.000 đồng đối với hành vi không thực hiện kiểm kê tài sản vào cuối kỳ kế toán năm hoặc không thực hiện kiểm kê tài sản trong các trường hợp khác theo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3. Phạt tiền từ 5.000.000 đồng đến 10.000.000 đồng đối với hành vi giả mạo, khai man kết quả kiểm kê tài sản.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14.</w:t>
      </w:r>
      <w:r w:rsidRPr="003B0B45">
        <w:rPr>
          <w:rFonts w:ascii="Arial" w:eastAsia="Times New Roman" w:hAnsi="Arial" w:cs="Arial"/>
          <w:color w:val="000080"/>
          <w:sz w:val="20"/>
          <w:szCs w:val="20"/>
          <w:lang w:eastAsia="vi-VN"/>
        </w:rPr>
        <w:t xml:space="preserve"> Vi phạm quy định về tổ chức bộ máy kế toán, bố trí người làm kế toán hoặc thuê làm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1. Phạt tiền từ 5.000.000 đồng đến 10.000.000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    a) Không tổ chức bộ máy kế toán; không bố trí người làm kế toán hoặc </w:t>
      </w:r>
      <w:r w:rsidRPr="003B0B45">
        <w:rPr>
          <w:rFonts w:ascii="Arial" w:eastAsia="Times New Roman" w:hAnsi="Arial" w:cs="Arial"/>
          <w:color w:val="000080"/>
          <w:spacing w:val="-8"/>
          <w:sz w:val="20"/>
          <w:szCs w:val="20"/>
          <w:lang w:eastAsia="vi-VN"/>
        </w:rPr>
        <w:t>không thuê tổ chức, cá nhân kinh doanh dịch vụ kế toán làm kế toán theo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4"/>
          <w:sz w:val="20"/>
          <w:szCs w:val="20"/>
          <w:lang w:eastAsia="vi-VN"/>
        </w:rPr>
        <w:t>    b) Bố trí người làm kế toán mà pháp luật quy định không được làm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4"/>
          <w:sz w:val="20"/>
          <w:szCs w:val="20"/>
          <w:lang w:eastAsia="vi-VN"/>
        </w:rPr>
        <w:t>    c) Bố trí người làm kế toán không đủ tiêu chuẩn, điều kiện theo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d) Thuê tổ chức, cá nhân không đủ tiêu chuẩn, điều kiện hành nghề kế toán hoặc không đăng ký kinh doanh theo quy định, cung cấp dịch vụ kế toán cho đơn vị.</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2. Phạt tiền từ 10.000.000 đồng đến 20.000.000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Người có trách nhiệm quản lý, điều hành đơn vị kế toán kiêm làm kế toán, thủ kho, thủ quỹ hoặc mua, bán tài sản trừ doanh nghiệp tư nhân, hộ kinh doanh cá thể;</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4"/>
          <w:sz w:val="20"/>
          <w:szCs w:val="20"/>
          <w:lang w:eastAsia="vi-VN"/>
        </w:rPr>
        <w:t>    b) Bố trí người làm kế toán trưởng không đủ tiêu chuẩn, điều kiện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4"/>
          <w:sz w:val="20"/>
          <w:szCs w:val="20"/>
          <w:lang w:eastAsia="vi-VN"/>
        </w:rPr>
        <w:t>    c) Thuê người làm kế toán trưởng không đủ tiêu chuẩn, điều kiện quy định.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3. áp dụng biện pháp khắc phục hậu quả:</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Buộc phải tổ chức bộ máy kế toán; bố trí người làm kế toán hoặc thuê tổ chức, cá nhân kinh doanh dịch vụ kế toán làm kế toán đối với vi phạm quy định tại điểm a khoản 1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Buộc phải thuyên chuyển và bố trí hoặc thuê người làm kế toán hoặc người làm kế toán trưởng thay thế đối với vi phạm quy định tại điểm b, c, d khoản 1 và điểm a, b, c khoản 2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lastRenderedPageBreak/>
        <w:t>Điều 15.</w:t>
      </w:r>
      <w:r w:rsidRPr="003B0B45">
        <w:rPr>
          <w:rFonts w:ascii="Arial" w:eastAsia="Times New Roman" w:hAnsi="Arial" w:cs="Arial"/>
          <w:color w:val="000080"/>
          <w:sz w:val="20"/>
          <w:szCs w:val="20"/>
          <w:lang w:eastAsia="vi-VN"/>
        </w:rPr>
        <w:t xml:space="preserve"> Vi phạm quy định về hành nghề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1. Phạt tiền từ 5.000.000 đồng đến 10.000.000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Tổ chức, cá nhân hành nghề kế toán nhưng không đăng ký kinh doanh dịch vụ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    b) Người đại diện theo pháp luật của doanh nghiệp kinh doanh dịch vụ kế toán không có Chứng chỉ hành nghề kế toán;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Doanh nghiệp hoặc cá nhân hành nghề kế toán không đảm bảo điều kiện hoạt động theo quy định nhưng vẫn cung cấp dịch vụ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8"/>
          <w:sz w:val="20"/>
          <w:szCs w:val="20"/>
          <w:lang w:eastAsia="vi-VN"/>
        </w:rPr>
        <w:t>    d) Cá nhân hành nghề kế toán nhưng không có Chứng chỉ hành nghề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đ) Thuê người không có Chứng chỉ hành nghề kế toán làm kế toán hoặc không có Chứng chỉ bồi dưỡng kế toán trưởng, làm kế toán trưởng;</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e) Nhận làm thuê kế toán khi là bố, mẹ, vợ, chồng, con, anh, chị, em ruột của người có trách nhiệm quản lý điều hành, kể cả Kế toán trưởng của đơn vị kế toán hoặc có quan hệ kinh tế, tài chính hoặc không đủ năng lực chuyên môn hoặc nhận làm thuê kế toán khi đơn vị kế toán có yêu cầu trái với đạo đức nghề nghiệp, chuyên môn nghiệp vụ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    g) Cho thuê, cho mượn Chứng chỉ hành nghề kế toán.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2. Hình thức xử phạt bổ sung: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Tước quyền sử dụng Chứng chỉ hành nghề kế toán đối với vi phạm quy định tại điểm e, g khoản 1 Điều này nếu cố tình sai phạm.</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3. Áp dụng biện pháp khắc phục hậu quả:</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Buộc phải đăng ký kinh doanh dịch vụ kế toán đối với vi phạm quy định tại điểm a khoản 1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Buộc phải đình chỉ hành nghề kế toán đối với vi phạm quy định tại điểm b, c, d, e, g khoản 1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Buộc phải chấm dứt hợp đồng thuê làm kế toán hoặc làm kế toán trưởng đối với vi phạm quy định tại điểm đ khoản 1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16.</w:t>
      </w:r>
      <w:r w:rsidRPr="003B0B45">
        <w:rPr>
          <w:rFonts w:ascii="Arial" w:eastAsia="Times New Roman" w:hAnsi="Arial" w:cs="Arial"/>
          <w:color w:val="000080"/>
          <w:sz w:val="20"/>
          <w:szCs w:val="20"/>
          <w:lang w:eastAsia="vi-VN"/>
        </w:rPr>
        <w:t xml:space="preserve"> Vi phạm quy định về áp dụng chuẩn mực kế toán, chế độ kế toán và các quy định khác</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1. Phạt tiền từ 5.000.000 đồng đến 10.000.000 đồng đối với một trong các hành vi sau đây: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Không đăng ký hoặc không thông báo chế độ kế toán áp dụng tại đơn vị trong thời hạn quy định đối với trường hợp phải đăng ký hoặc phải thông báo với cơ quan nhà nước có thẩm quyền;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Áp dụng sai quy định về chữ viết; chữ số; đơn vị tiền tệ hoặc kỳ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2. Phạt tiền từ 10.000.000 đồng đến 20.000.000 đồng đối với hành vi cho đối tượng khác sử dụng tài khoản Tiền gửi ngân hàng, Tiền gửi kho bạc Nhà nước của đơn vị để nhận tiền và chuyển tiền cho các hoạt động tiền tệ vi phạm chế độ quản lý tài chính, ngân sách và sử dụng vốn.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3. Áp dụng biện pháp khắc phục hậu quả:</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Buộc phải thực hiện việc đăng ký chế độ kế toán áp dụng đối với vi phạm quy định tại điểm a khoản 1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Buộc phải thực hiện đúng quy định đối với các vi phạm quy định tại điểm b khoản 1 và khoản 2 Điều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6"/>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17.</w:t>
      </w:r>
      <w:r w:rsidRPr="003B0B45">
        <w:rPr>
          <w:rFonts w:ascii="Arial" w:eastAsia="Times New Roman" w:hAnsi="Arial" w:cs="Arial"/>
          <w:color w:val="000080"/>
          <w:spacing w:val="-6"/>
          <w:sz w:val="20"/>
          <w:szCs w:val="20"/>
          <w:lang w:eastAsia="vi-VN"/>
        </w:rPr>
        <w:t xml:space="preserve"> Hành vi vi phạm trong lĩnh vực kế toán dẫn đến trốn, lậu thuế</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1. Các hành vi vi phạm hành chính trong lĩnh vực kế toán quy định từ Điều 7 đến Điều 16 của Nghị định này, ngoài việc xử phạt vi phạm hành chính về kế toán như quy định tại các Điều từ 7 đến 16 nói trên nếu hành vi vi phạm dẫn đến trốn, lậu thuế thì còn bị xử phạt theo quy định tại Nghị định của Chính phủ về xử phạt vi phạm hành chính trong lĩnh vực thuế.</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2. Khi xét thấy hành vi vi phạm hành chính trong lĩnh vực kế toán dẫn đến trốn, lậu thuế thì người có thẩm quyền xử phạt vi phạm hành chính phải chuyển ngay hồ sơ cho cơ quan thuế cùng </w:t>
      </w:r>
      <w:r w:rsidRPr="003B0B45">
        <w:rPr>
          <w:rFonts w:ascii="Arial" w:eastAsia="Times New Roman" w:hAnsi="Arial" w:cs="Arial"/>
          <w:color w:val="000080"/>
          <w:sz w:val="20"/>
          <w:szCs w:val="20"/>
          <w:lang w:eastAsia="vi-VN"/>
        </w:rPr>
        <w:lastRenderedPageBreak/>
        <w:t>cấp để xử lý vi phạm hành chính trong lĩnh vực thuế, sau khi đã xử phạt vi phạm hành chính về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jc w:val="center"/>
        <w:rPr>
          <w:rFonts w:eastAsia="Times New Roman" w:cs="Times New Roman"/>
          <w:sz w:val="24"/>
          <w:szCs w:val="24"/>
          <w:lang w:eastAsia="vi-VN"/>
        </w:rPr>
      </w:pPr>
      <w:r w:rsidRPr="003B0B45">
        <w:rPr>
          <w:rFonts w:ascii="Arial" w:eastAsia="Times New Roman" w:hAnsi="Arial" w:cs="Arial"/>
          <w:b/>
          <w:bCs/>
          <w:color w:val="000080"/>
          <w:spacing w:val="28"/>
          <w:sz w:val="20"/>
          <w:szCs w:val="20"/>
          <w:u w:val="single"/>
          <w:lang w:eastAsia="vi-VN"/>
        </w:rPr>
        <w:t>CHƯƠNG III:</w:t>
      </w:r>
      <w:r w:rsidRPr="003B0B45">
        <w:rPr>
          <w:rFonts w:ascii="Arial" w:eastAsia="Times New Roman" w:hAnsi="Arial" w:cs="Arial"/>
          <w:b/>
          <w:bCs/>
          <w:color w:val="000080"/>
          <w:spacing w:val="28"/>
          <w:sz w:val="20"/>
          <w:szCs w:val="20"/>
          <w:lang w:eastAsia="vi-VN"/>
        </w:rPr>
        <w:t xml:space="preserve"> THẨM QUYỀN, THỦ TỤC XỬ PHẠT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4"/>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18.</w:t>
      </w:r>
      <w:r w:rsidRPr="003B0B45">
        <w:rPr>
          <w:rFonts w:ascii="Arial" w:eastAsia="Times New Roman" w:hAnsi="Arial" w:cs="Arial"/>
          <w:color w:val="000080"/>
          <w:spacing w:val="-4"/>
          <w:sz w:val="20"/>
          <w:szCs w:val="20"/>
          <w:lang w:eastAsia="vi-VN"/>
        </w:rPr>
        <w:t xml:space="preserve"> Thẩm quyền xử phạt của thanh tra Tài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1. Thanh tra viên Tài chính các cấp đang thi hành công vụ có quyền: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Phạt cảnh cáo;</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Phạt tiền 200.000 đồng;</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áp dụng biện pháp khắc phục hậu quả quy định tại khoản 3 Điều 5 của Nghị định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2. Chánh thanh tra Sở Tài chính có quyền: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Phạt cảnh cáo;</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Phạt tiền đến 20.000.000 đồng;</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Áp dụng các hình thức xử phạt bổ sung và biện pháp khắc phục hậu quả quy định tại khoản 2, khoản 3 Điều 5 của Nghị định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3. Chánh thanh tra Bộ Tài chính có quyền: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    a) Phạt cảnh cáo;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    b) Phạt tiền đến 20.000.000 đồng;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Áp dụng các hình thức xử phạt bổ sung và biện pháp khắc phục hậu quả quy định tại khoản 2, khoản 3 Điều 5 của Nghị định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6"/>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19.</w:t>
      </w:r>
      <w:r w:rsidRPr="003B0B45">
        <w:rPr>
          <w:rFonts w:ascii="Arial" w:eastAsia="Times New Roman" w:hAnsi="Arial" w:cs="Arial"/>
          <w:color w:val="000080"/>
          <w:spacing w:val="-6"/>
          <w:sz w:val="20"/>
          <w:szCs w:val="20"/>
          <w:lang w:eastAsia="vi-VN"/>
        </w:rPr>
        <w:t xml:space="preserve"> </w:t>
      </w:r>
      <w:r w:rsidRPr="003B0B45">
        <w:rPr>
          <w:rFonts w:ascii="Arial" w:eastAsia="Times New Roman" w:hAnsi="Arial" w:cs="Arial"/>
          <w:color w:val="000080"/>
          <w:sz w:val="20"/>
          <w:szCs w:val="20"/>
          <w:lang w:eastAsia="vi-VN"/>
        </w:rPr>
        <w:t>Thẩm quyền xử phạt của ủy ban nhân dân các cấp</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1. Chủ tịch ủy ban nhân dân xã, phường, thị trấn (gọi chung là cấp xã) có quyền: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Phạt cảnh cáo;</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Phạt tiền đến 500.000 đồng;</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Áp dụng biện pháp khắc phục hậu quả quy định tại khoản 3 Điều 5 của Nghị định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2. Chủ tịch ủy ban nhân dân huyện, quận, thị xã, thành phố thuộc tỉnh (gọi chung là cấp huyện) có quyền: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Phạt cảnh cáo;</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Phạt tiền đến 20.000.000 đồng;</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Áp dụng các hình thức xử phạt bổ sung và biện pháp khắc phục hậu quả quy định tại khoản 2, khoản 3 Điều 5 của Nghị định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3. Chủ tịch ủy ban nhân dân tỉnh, thành phố trực thuộc Trung ương (gọi chung là cấp tỉnh) có quyền: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a) Phạt cảnh cáo;</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b) Phạt tiền đến 20.000.000 đồng;</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c) Áp dụng các hình thức xử phạt bổ sung và biện pháp khắc phục hậu quả quy định tại khoản 2, khoản 3 Điều 5 của Nghị định này.</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4"/>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20.</w:t>
      </w:r>
      <w:r w:rsidRPr="003B0B45">
        <w:rPr>
          <w:rFonts w:ascii="Arial" w:eastAsia="Times New Roman" w:hAnsi="Arial" w:cs="Arial"/>
          <w:color w:val="000080"/>
          <w:spacing w:val="-4"/>
          <w:sz w:val="20"/>
          <w:szCs w:val="20"/>
          <w:lang w:eastAsia="vi-VN"/>
        </w:rPr>
        <w:t xml:space="preserve"> </w:t>
      </w:r>
      <w:r w:rsidRPr="003B0B45">
        <w:rPr>
          <w:rFonts w:ascii="Arial" w:eastAsia="Times New Roman" w:hAnsi="Arial" w:cs="Arial"/>
          <w:color w:val="000080"/>
          <w:sz w:val="20"/>
          <w:szCs w:val="20"/>
          <w:lang w:eastAsia="vi-VN"/>
        </w:rPr>
        <w:t>Ủ</w:t>
      </w:r>
      <w:r w:rsidRPr="003B0B45">
        <w:rPr>
          <w:rFonts w:ascii="Arial" w:eastAsia="Times New Roman" w:hAnsi="Arial" w:cs="Arial"/>
          <w:color w:val="000080"/>
          <w:spacing w:val="-4"/>
          <w:sz w:val="20"/>
          <w:szCs w:val="20"/>
          <w:lang w:eastAsia="vi-VN"/>
        </w:rPr>
        <w:t>y quyền xử phạt vi phạm hành chính trong lĩnh vực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Trong trường hợp những người có thẩm quyền xử phạt vi phạm hành chính quy định tại khoản 2, khoản 3 Điều 18, khoản 1, khoản 2, khoản 3 Điều 19 của Nghị định này vắng mặt thì cấp phó được ủy quyền có thẩm quyền xử phạt vi phạm hành chính theo thẩm quyền của người ủy quyền và phải chịu trách nhiệm về quyết định của mình.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lastRenderedPageBreak/>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21.</w:t>
      </w:r>
      <w:r w:rsidRPr="003B0B45">
        <w:rPr>
          <w:rFonts w:ascii="Arial" w:eastAsia="Times New Roman" w:hAnsi="Arial" w:cs="Arial"/>
          <w:color w:val="000080"/>
          <w:sz w:val="20"/>
          <w:szCs w:val="20"/>
          <w:lang w:eastAsia="vi-VN"/>
        </w:rPr>
        <w:t xml:space="preserve"> Phân định thẩm quyền xử phạt vi phạm hành chính trong lĩnh vực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1. Chủ tịch ủy ban nhân dân cấp xã, cấp huyện và cấp tỉnh có thẩm quyền xử phạt vi phạm hành chính trong lĩnh vực kế toán thuộc địa phương.</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Cơ quan thanh tra Tài chính các cấp có thẩm quyền xử phạt vi phạm hành chính trong lĩnh vực kế toán thuộc mình quản lý.</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Trường hợp vi phạm hành chính trong lĩnh vực kế toán thuộc thẩm quyền xử phạt của nhiều người thì việc xử phạt vi phạm hành chính do người thụ lý đầu tiên thực hiện.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2. Thẩm quyền xử phạt của người được quy định tại Điều 18, Điều 19 của Nghị định này là thẩm quyền áp dụng đối với một hành vi vi phạm hành chính trong lĩnh vực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3. Trường hợp xử phạt một người, một tổ chức thực hiện nhiều hành vi vi phạm hành chính thì thẩm quyền xử phạt thực hiện theo quy định tại khoản 3 Điều 42 của Pháp lệnh Xử lý vi phạm hành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22.</w:t>
      </w:r>
      <w:r w:rsidRPr="003B0B45">
        <w:rPr>
          <w:rFonts w:ascii="Arial" w:eastAsia="Times New Roman" w:hAnsi="Arial" w:cs="Arial"/>
          <w:color w:val="000080"/>
          <w:sz w:val="20"/>
          <w:szCs w:val="20"/>
          <w:lang w:eastAsia="vi-VN"/>
        </w:rPr>
        <w:t xml:space="preserve"> Thời hiệu thi hành quyết định xử phạt vi phạm hành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Thời hiệu thi hành quyết định xử phạt vi phạm hành chính trong lĩnh vực kế toán là một năm, kể từ ngày ra quyết định xử phạt; quá thời hạn này mà quyết định đó không được thi hành thì không thi hành quyết định xử phạt nữa nhưng vẫn áp dụng các biện pháp khắc phục hậu quả ghi trong quyết định. Trường hợp cá nhân, tổ chức bị xử phạt cố tình trốn tránh, trì hoãn thì thời </w:t>
      </w:r>
      <w:r w:rsidRPr="003B0B45">
        <w:rPr>
          <w:rFonts w:ascii="Arial" w:eastAsia="Times New Roman" w:hAnsi="Arial" w:cs="Arial"/>
          <w:color w:val="000080"/>
          <w:spacing w:val="-4"/>
          <w:sz w:val="20"/>
          <w:szCs w:val="20"/>
          <w:lang w:eastAsia="vi-VN"/>
        </w:rPr>
        <w:t>hiệu nêu trên được tính lại kể từ thời điểm chấm dứt hành vi trốn tránh, trì hoãn.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23.</w:t>
      </w:r>
      <w:r w:rsidRPr="003B0B45">
        <w:rPr>
          <w:rFonts w:ascii="Arial" w:eastAsia="Times New Roman" w:hAnsi="Arial" w:cs="Arial"/>
          <w:color w:val="000080"/>
          <w:sz w:val="20"/>
          <w:szCs w:val="20"/>
          <w:lang w:eastAsia="vi-VN"/>
        </w:rPr>
        <w:t xml:space="preserve"> Thủ tục xử phạt vi phạm hành chính trong lĩnh vực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1. Khi phát hiện hành vi vi phạm hành chính trong lĩnh vực kế toán, người có thẩm quyền xử phạt phải quyết định đình chỉ ngay hành vi vi phạm hành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2. Thủ tục xử phạt vi phạm hành chính trong lĩnh vực kế toán được thực hiện theo quy định tại Chương IV Nghị định số 134/2003/NĐ-CP ngày 14 tháng 11 năm 2003 của Chính phủ quy định chi tiết một số điều của Pháp lệnh Xử lý vi phạm hành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4"/>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24.</w:t>
      </w:r>
      <w:r w:rsidRPr="003B0B45">
        <w:rPr>
          <w:rFonts w:ascii="Arial" w:eastAsia="Times New Roman" w:hAnsi="Arial" w:cs="Arial"/>
          <w:color w:val="000080"/>
          <w:spacing w:val="-4"/>
          <w:sz w:val="20"/>
          <w:szCs w:val="20"/>
          <w:lang w:eastAsia="vi-VN"/>
        </w:rPr>
        <w:t xml:space="preserve"> Cưỡng chế thi hành quyết định xử phạt vi phạm hành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Việc cưỡng chế thi hành quyết định xử phạt vi phạm hành chính trong lĩnh vực kế toán được thực hiện theo quy định tại Điều 66 của Pháp lệnh Xử lý vi phạm hành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25.</w:t>
      </w:r>
      <w:r w:rsidRPr="003B0B45">
        <w:rPr>
          <w:rFonts w:ascii="Arial" w:eastAsia="Times New Roman" w:hAnsi="Arial" w:cs="Arial"/>
          <w:color w:val="000080"/>
          <w:sz w:val="20"/>
          <w:szCs w:val="20"/>
          <w:lang w:eastAsia="vi-VN"/>
        </w:rPr>
        <w:t xml:space="preserve"> Chuyển hồ sơ vi phạm hành chính trong lĩnh vực kế toán để truy cứu trách nhiệm hình sự</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xml:space="preserve">Khi xét thấy hành vi vi phạm hành chính trong lĩnh vực kế toán có dấu hiệu tội phạm thì người có thẩm quyền xử phạt vi phạm hành chính phải </w:t>
      </w:r>
      <w:r w:rsidRPr="003B0B45">
        <w:rPr>
          <w:rFonts w:ascii="Arial" w:eastAsia="Times New Roman" w:hAnsi="Arial" w:cs="Arial"/>
          <w:color w:val="000080"/>
          <w:spacing w:val="-10"/>
          <w:sz w:val="20"/>
          <w:szCs w:val="20"/>
          <w:lang w:eastAsia="vi-VN"/>
        </w:rPr>
        <w:t>chuyển ngay hồ sơ cho cơ quan nhà nước có thẩm quyền xử lý hình sự để giải quyết.</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jc w:val="center"/>
        <w:rPr>
          <w:rFonts w:eastAsia="Times New Roman" w:cs="Times New Roman"/>
          <w:sz w:val="24"/>
          <w:szCs w:val="24"/>
          <w:lang w:eastAsia="vi-VN"/>
        </w:rPr>
      </w:pPr>
      <w:r w:rsidRPr="003B0B45">
        <w:rPr>
          <w:rFonts w:ascii="Arial" w:eastAsia="Times New Roman" w:hAnsi="Arial" w:cs="Arial"/>
          <w:b/>
          <w:bCs/>
          <w:color w:val="000080"/>
          <w:spacing w:val="28"/>
          <w:sz w:val="20"/>
          <w:szCs w:val="20"/>
          <w:u w:val="single"/>
          <w:lang w:eastAsia="vi-VN"/>
        </w:rPr>
        <w:t>CHƯƠNG IV:</w:t>
      </w:r>
      <w:r w:rsidRPr="003B0B45">
        <w:rPr>
          <w:rFonts w:ascii="Arial" w:eastAsia="Times New Roman" w:hAnsi="Arial" w:cs="Arial"/>
          <w:b/>
          <w:bCs/>
          <w:color w:val="000080"/>
          <w:spacing w:val="28"/>
          <w:sz w:val="20"/>
          <w:szCs w:val="20"/>
          <w:lang w:eastAsia="vi-VN"/>
        </w:rPr>
        <w:t xml:space="preserve"> KHIẾU NẠI, TỐ CÁO, KHEN THƯỞNG VÀ XỬ LÝ VI PHẠM</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6"/>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26.</w:t>
      </w:r>
      <w:r w:rsidRPr="003B0B45">
        <w:rPr>
          <w:rFonts w:ascii="Arial" w:eastAsia="Times New Roman" w:hAnsi="Arial" w:cs="Arial"/>
          <w:color w:val="000080"/>
          <w:spacing w:val="-6"/>
          <w:sz w:val="20"/>
          <w:szCs w:val="20"/>
          <w:lang w:eastAsia="vi-VN"/>
        </w:rPr>
        <w:t xml:space="preserve"> Khiếu nại, tố cáo</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4"/>
          <w:sz w:val="20"/>
          <w:szCs w:val="20"/>
          <w:lang w:eastAsia="vi-VN"/>
        </w:rPr>
        <w:t>1. Cá nhân, tổ chức bị xử phạt vi phạm hành chính trong lĩnh vực kế toán hoặc người đại diện hợp pháp của cá nhân, tổ chức đó có quyền khiếu nại về quyết định xử phạt vi phạm hành chính, quyết định áp dụng các biện pháp ngăn chặn và bảo đảm xử lý vi phạm hành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2. Công dân có quyền tố cáo về hành vi trái pháp luật trong xử lý vi phạm hành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3. Thẩm quyền, thủ tục, thời hạn giải quyết khiếu nại, tố cáo được thực hiện theo quy định của pháp luật về khiếu nại, tố cáo.</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6"/>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lastRenderedPageBreak/>
        <w:t>Điều 27.</w:t>
      </w:r>
      <w:r w:rsidRPr="003B0B45">
        <w:rPr>
          <w:rFonts w:ascii="Arial" w:eastAsia="Times New Roman" w:hAnsi="Arial" w:cs="Arial"/>
          <w:color w:val="000080"/>
          <w:spacing w:val="-6"/>
          <w:sz w:val="20"/>
          <w:szCs w:val="20"/>
          <w:lang w:eastAsia="vi-VN"/>
        </w:rPr>
        <w:t xml:space="preserve"> Khởi kiện hành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6"/>
          <w:sz w:val="20"/>
          <w:szCs w:val="20"/>
          <w:lang w:eastAsia="vi-VN"/>
        </w:rPr>
        <w:t>Việc khởi kiện đối với quyết định xử phạt vi phạm hành chính, quyết định áp dụng các biện pháp ngăn chặn và bảo đảm việc xử lý vi phạm hành chính, được thực hiện theo quy định của pháp luật về thủ tục giải quyết các vụ án hành chính.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6"/>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28.</w:t>
      </w:r>
      <w:r w:rsidRPr="003B0B45">
        <w:rPr>
          <w:rFonts w:ascii="Arial" w:eastAsia="Times New Roman" w:hAnsi="Arial" w:cs="Arial"/>
          <w:color w:val="000080"/>
          <w:spacing w:val="4"/>
          <w:sz w:val="20"/>
          <w:szCs w:val="20"/>
          <w:lang w:eastAsia="vi-VN"/>
        </w:rPr>
        <w:t xml:space="preserve"> </w:t>
      </w:r>
      <w:r w:rsidRPr="003B0B45">
        <w:rPr>
          <w:rFonts w:ascii="Arial" w:eastAsia="Times New Roman" w:hAnsi="Arial" w:cs="Arial"/>
          <w:color w:val="000080"/>
          <w:spacing w:val="-6"/>
          <w:sz w:val="20"/>
          <w:szCs w:val="20"/>
          <w:lang w:eastAsia="vi-VN"/>
        </w:rPr>
        <w:t>Khen thưởng</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6"/>
          <w:sz w:val="20"/>
          <w:szCs w:val="20"/>
          <w:lang w:eastAsia="vi-VN"/>
        </w:rPr>
        <w:t>Cá nhân, tổ chức có thành tích trong đấu tranh và phòng chống vi phạm hành chính trong lĩnh vực kế toán được khen thưởng theo quy định của pháp luật.</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6"/>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29.</w:t>
      </w:r>
      <w:r w:rsidRPr="003B0B45">
        <w:rPr>
          <w:rFonts w:ascii="Arial" w:eastAsia="Times New Roman" w:hAnsi="Arial" w:cs="Arial"/>
          <w:color w:val="000080"/>
          <w:spacing w:val="-6"/>
          <w:sz w:val="20"/>
          <w:szCs w:val="20"/>
          <w:lang w:eastAsia="vi-VN"/>
        </w:rPr>
        <w:t xml:space="preserve"> Xử lý vi phạm</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6"/>
          <w:sz w:val="20"/>
          <w:szCs w:val="20"/>
          <w:lang w:eastAsia="vi-VN"/>
        </w:rPr>
        <w:t>1. Người bị xử lý vi phạm hành chính nếu có hành vi chống đối người thi hành công vụ, trì hoãn, trốn tránh việc chấp hành quyết định của người có thẩm quyền xử phạt thì tuỳ theo tính chất, mức độ vi phạm mà bị xử lý vi phạm hành chính hoặc bị truy cứu trách nhiệm hình sự; nếu gây thiệt hại thì phải bồi thường theo quy định của pháp luật.</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pacing w:val="-6"/>
          <w:sz w:val="20"/>
          <w:szCs w:val="20"/>
          <w:lang w:eastAsia="vi-VN"/>
        </w:rPr>
        <w:t>2. Người có thẩm quyền xử lý vi phạm hành chính mà sách nhiễu, dung túng, bao che, không xử lý hoặc xử lý không kịp thời, không đúng mức, xử lý vượt thẩm quyền quy định, có lỗi trong việc để quá thời hiệu, thời hạn xử lý vi phạm hành chính trong lĩnh vực kế toán thì tuỳ theo tính chất, mức độ vi phạm mà bị xử lý kỷ luật hoặc bị truy cứu trách nhiệm hình sự; nếu gây thiệt hại thì phải bồi thường theo quy định của pháp luật.</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jc w:val="center"/>
        <w:rPr>
          <w:rFonts w:eastAsia="Times New Roman" w:cs="Times New Roman"/>
          <w:sz w:val="24"/>
          <w:szCs w:val="24"/>
          <w:lang w:eastAsia="vi-VN"/>
        </w:rPr>
      </w:pPr>
      <w:r w:rsidRPr="003B0B45">
        <w:rPr>
          <w:rFonts w:ascii="Arial" w:eastAsia="Times New Roman" w:hAnsi="Arial" w:cs="Arial"/>
          <w:b/>
          <w:bCs/>
          <w:color w:val="000080"/>
          <w:spacing w:val="28"/>
          <w:sz w:val="20"/>
          <w:szCs w:val="20"/>
          <w:u w:val="single"/>
          <w:lang w:eastAsia="vi-VN"/>
        </w:rPr>
        <w:t>CHƯƠNG V:</w:t>
      </w:r>
      <w:r w:rsidRPr="003B0B45">
        <w:rPr>
          <w:rFonts w:ascii="Arial" w:eastAsia="Times New Roman" w:hAnsi="Arial" w:cs="Arial"/>
          <w:b/>
          <w:bCs/>
          <w:color w:val="000080"/>
          <w:spacing w:val="28"/>
          <w:sz w:val="20"/>
          <w:szCs w:val="20"/>
          <w:lang w:eastAsia="vi-VN"/>
        </w:rPr>
        <w:t xml:space="preserve"> ĐIỀU KHOẢN THI HÀNH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 </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b/>
          <w:bCs/>
          <w:color w:val="000080"/>
          <w:spacing w:val="24"/>
          <w:sz w:val="20"/>
          <w:szCs w:val="20"/>
          <w:lang w:eastAsia="vi-VN"/>
        </w:rPr>
        <w:t>Điều 30.</w:t>
      </w:r>
      <w:r w:rsidRPr="003B0B45">
        <w:rPr>
          <w:rFonts w:ascii="Arial" w:eastAsia="Times New Roman" w:hAnsi="Arial" w:cs="Arial"/>
          <w:color w:val="000080"/>
          <w:sz w:val="20"/>
          <w:szCs w:val="20"/>
          <w:lang w:eastAsia="vi-VN"/>
        </w:rPr>
        <w:t xml:space="preserve"> Điều khoản thi hành</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1. Nghị định này có hiệu lực thi hành sau 15 ngày, kể từ ngày đăng Công báo và thay thế Nghị định số 49/1999/NĐ-CP ngày 08 tháng 7 năm 1999 của Chính phủ về xử phạt vi phạm hành chính trong lĩnh vực kế toán.</w:t>
      </w:r>
    </w:p>
    <w:p w:rsidR="003B0B45" w:rsidRPr="003B0B45" w:rsidRDefault="003B0B45" w:rsidP="003B0B45">
      <w:pPr>
        <w:spacing w:before="158" w:after="158" w:line="240" w:lineRule="auto"/>
        <w:ind w:firstLine="237"/>
        <w:rPr>
          <w:rFonts w:eastAsia="Times New Roman" w:cs="Times New Roman"/>
          <w:sz w:val="24"/>
          <w:szCs w:val="24"/>
          <w:lang w:eastAsia="vi-VN"/>
        </w:rPr>
      </w:pPr>
      <w:r w:rsidRPr="003B0B45">
        <w:rPr>
          <w:rFonts w:ascii="Arial" w:eastAsia="Times New Roman" w:hAnsi="Arial" w:cs="Arial"/>
          <w:color w:val="000080"/>
          <w:sz w:val="20"/>
          <w:szCs w:val="20"/>
          <w:lang w:eastAsia="vi-VN"/>
        </w:rPr>
        <w:t>2. Các Bộ trưởng, Thủ trưởng cơ quan ngang Bộ, Thủ trưởng cơ quan thuộc Chính phủ, Chủ tịch ủy ban nhân dân tỉnh, thành phố trực thuộc Trung ương chịu trách nhiệm tổ chức thi hành Nghị định này.</w:t>
      </w:r>
    </w:p>
    <w:p w:rsidR="003B0B45" w:rsidRPr="003B0B45" w:rsidRDefault="003B0B45" w:rsidP="003B0B45">
      <w:pPr>
        <w:spacing w:before="100" w:beforeAutospacing="1" w:after="100" w:afterAutospacing="1" w:line="240" w:lineRule="auto"/>
        <w:rPr>
          <w:rFonts w:eastAsia="Times New Roman" w:cs="Times New Roman"/>
          <w:sz w:val="24"/>
          <w:szCs w:val="24"/>
          <w:lang w:eastAsia="vi-VN"/>
        </w:rPr>
      </w:pPr>
      <w:r w:rsidRPr="003B0B45">
        <w:rPr>
          <w:rFonts w:ascii="Arial" w:eastAsia="Times New Roman" w:hAnsi="Arial" w:cs="Arial"/>
          <w:color w:val="000080"/>
          <w:sz w:val="20"/>
          <w:szCs w:val="20"/>
          <w:lang w:eastAsia="vi-VN"/>
        </w:rPr>
        <w:t>3. Bộ trưởng Bộ Tài chính chịu trách nhiệm hướng dẫn thi hành Nghị định này.</w:t>
      </w:r>
    </w:p>
    <w:p w:rsidR="00C57D26" w:rsidRDefault="00C57D26"/>
    <w:sectPr w:rsidR="00C57D26" w:rsidSect="00BE55B8">
      <w:pgSz w:w="11907" w:h="16840" w:code="9"/>
      <w:pgMar w:top="851" w:right="1287" w:bottom="567" w:left="1797" w:header="181"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compat/>
  <w:rsids>
    <w:rsidRoot w:val="003B0B45"/>
    <w:rsid w:val="00001114"/>
    <w:rsid w:val="00007B56"/>
    <w:rsid w:val="0002723A"/>
    <w:rsid w:val="00031E6D"/>
    <w:rsid w:val="00045C37"/>
    <w:rsid w:val="00051029"/>
    <w:rsid w:val="0005765C"/>
    <w:rsid w:val="000669AD"/>
    <w:rsid w:val="00067DC8"/>
    <w:rsid w:val="00081302"/>
    <w:rsid w:val="000925B5"/>
    <w:rsid w:val="00095032"/>
    <w:rsid w:val="00096D14"/>
    <w:rsid w:val="000D1B92"/>
    <w:rsid w:val="000D23CF"/>
    <w:rsid w:val="000D685A"/>
    <w:rsid w:val="000E685D"/>
    <w:rsid w:val="00120D91"/>
    <w:rsid w:val="00131214"/>
    <w:rsid w:val="00151A76"/>
    <w:rsid w:val="001524E4"/>
    <w:rsid w:val="0015357E"/>
    <w:rsid w:val="00164646"/>
    <w:rsid w:val="001753AF"/>
    <w:rsid w:val="00181F5C"/>
    <w:rsid w:val="0018735A"/>
    <w:rsid w:val="001B031A"/>
    <w:rsid w:val="001C40D2"/>
    <w:rsid w:val="001D3B21"/>
    <w:rsid w:val="001F17EE"/>
    <w:rsid w:val="002019E7"/>
    <w:rsid w:val="00216825"/>
    <w:rsid w:val="002202C4"/>
    <w:rsid w:val="00225BBC"/>
    <w:rsid w:val="002410A7"/>
    <w:rsid w:val="00241858"/>
    <w:rsid w:val="002462A6"/>
    <w:rsid w:val="002574A7"/>
    <w:rsid w:val="00264E4F"/>
    <w:rsid w:val="00265ACE"/>
    <w:rsid w:val="002772DF"/>
    <w:rsid w:val="00281594"/>
    <w:rsid w:val="00292920"/>
    <w:rsid w:val="002A5C1A"/>
    <w:rsid w:val="002C6D0A"/>
    <w:rsid w:val="002C7073"/>
    <w:rsid w:val="002D01D0"/>
    <w:rsid w:val="002D4E01"/>
    <w:rsid w:val="00312C0D"/>
    <w:rsid w:val="0031718C"/>
    <w:rsid w:val="003433CD"/>
    <w:rsid w:val="0035226C"/>
    <w:rsid w:val="00352816"/>
    <w:rsid w:val="00372953"/>
    <w:rsid w:val="003832E8"/>
    <w:rsid w:val="00385917"/>
    <w:rsid w:val="003A51E8"/>
    <w:rsid w:val="003A7B44"/>
    <w:rsid w:val="003B0B45"/>
    <w:rsid w:val="003D0532"/>
    <w:rsid w:val="003D6B4B"/>
    <w:rsid w:val="003E0292"/>
    <w:rsid w:val="003E12D1"/>
    <w:rsid w:val="003E589F"/>
    <w:rsid w:val="003E66AC"/>
    <w:rsid w:val="004023C2"/>
    <w:rsid w:val="0040263D"/>
    <w:rsid w:val="004029D7"/>
    <w:rsid w:val="004043F5"/>
    <w:rsid w:val="00417A98"/>
    <w:rsid w:val="00427A35"/>
    <w:rsid w:val="00434600"/>
    <w:rsid w:val="004418D3"/>
    <w:rsid w:val="00446ABA"/>
    <w:rsid w:val="00446BB5"/>
    <w:rsid w:val="00446F4C"/>
    <w:rsid w:val="00452630"/>
    <w:rsid w:val="00454F3D"/>
    <w:rsid w:val="0045799F"/>
    <w:rsid w:val="00464B3F"/>
    <w:rsid w:val="004A77D0"/>
    <w:rsid w:val="004B61C3"/>
    <w:rsid w:val="004D4572"/>
    <w:rsid w:val="004D4695"/>
    <w:rsid w:val="004D684D"/>
    <w:rsid w:val="004F31CF"/>
    <w:rsid w:val="005136D4"/>
    <w:rsid w:val="005145A4"/>
    <w:rsid w:val="00520C70"/>
    <w:rsid w:val="00532890"/>
    <w:rsid w:val="00542B14"/>
    <w:rsid w:val="005478DD"/>
    <w:rsid w:val="00563E1F"/>
    <w:rsid w:val="0056468C"/>
    <w:rsid w:val="00572DAF"/>
    <w:rsid w:val="00590C64"/>
    <w:rsid w:val="00592085"/>
    <w:rsid w:val="005C7736"/>
    <w:rsid w:val="005D014F"/>
    <w:rsid w:val="005D25E3"/>
    <w:rsid w:val="005D5A54"/>
    <w:rsid w:val="005E1AD0"/>
    <w:rsid w:val="005F3EAD"/>
    <w:rsid w:val="00602535"/>
    <w:rsid w:val="00603880"/>
    <w:rsid w:val="00620498"/>
    <w:rsid w:val="0062181C"/>
    <w:rsid w:val="006420F3"/>
    <w:rsid w:val="00646EF6"/>
    <w:rsid w:val="00653832"/>
    <w:rsid w:val="00664B4A"/>
    <w:rsid w:val="00670CF7"/>
    <w:rsid w:val="0067440C"/>
    <w:rsid w:val="00674B4F"/>
    <w:rsid w:val="00680DB2"/>
    <w:rsid w:val="00686664"/>
    <w:rsid w:val="006873B5"/>
    <w:rsid w:val="006905DF"/>
    <w:rsid w:val="006965D0"/>
    <w:rsid w:val="006E0543"/>
    <w:rsid w:val="006E208B"/>
    <w:rsid w:val="006E3ECF"/>
    <w:rsid w:val="006F0373"/>
    <w:rsid w:val="006F6700"/>
    <w:rsid w:val="00702B89"/>
    <w:rsid w:val="00723072"/>
    <w:rsid w:val="00725DA3"/>
    <w:rsid w:val="0072603F"/>
    <w:rsid w:val="007309E7"/>
    <w:rsid w:val="007429AE"/>
    <w:rsid w:val="0074660A"/>
    <w:rsid w:val="00747697"/>
    <w:rsid w:val="00747F69"/>
    <w:rsid w:val="00753540"/>
    <w:rsid w:val="007607BD"/>
    <w:rsid w:val="00785110"/>
    <w:rsid w:val="007A01DE"/>
    <w:rsid w:val="007A2557"/>
    <w:rsid w:val="007A32BF"/>
    <w:rsid w:val="007D782F"/>
    <w:rsid w:val="007E11CE"/>
    <w:rsid w:val="007F5258"/>
    <w:rsid w:val="00804912"/>
    <w:rsid w:val="00805A8C"/>
    <w:rsid w:val="00814B89"/>
    <w:rsid w:val="00815652"/>
    <w:rsid w:val="008460A7"/>
    <w:rsid w:val="0086189A"/>
    <w:rsid w:val="008758EB"/>
    <w:rsid w:val="00880733"/>
    <w:rsid w:val="008939FE"/>
    <w:rsid w:val="008B3F77"/>
    <w:rsid w:val="008C36D2"/>
    <w:rsid w:val="008C529C"/>
    <w:rsid w:val="008D1C20"/>
    <w:rsid w:val="008D4719"/>
    <w:rsid w:val="008D56A3"/>
    <w:rsid w:val="008E19D4"/>
    <w:rsid w:val="008E5091"/>
    <w:rsid w:val="00902E8C"/>
    <w:rsid w:val="00904522"/>
    <w:rsid w:val="009226E9"/>
    <w:rsid w:val="0093134B"/>
    <w:rsid w:val="00934D80"/>
    <w:rsid w:val="00936B7D"/>
    <w:rsid w:val="009457ED"/>
    <w:rsid w:val="009527D8"/>
    <w:rsid w:val="009551FA"/>
    <w:rsid w:val="00963219"/>
    <w:rsid w:val="009666FC"/>
    <w:rsid w:val="00976F1B"/>
    <w:rsid w:val="0097796E"/>
    <w:rsid w:val="00984804"/>
    <w:rsid w:val="009A7E26"/>
    <w:rsid w:val="009B3027"/>
    <w:rsid w:val="009C5239"/>
    <w:rsid w:val="009D09C1"/>
    <w:rsid w:val="009E4021"/>
    <w:rsid w:val="009F3E93"/>
    <w:rsid w:val="009F704A"/>
    <w:rsid w:val="00A036F2"/>
    <w:rsid w:val="00A060FE"/>
    <w:rsid w:val="00A23774"/>
    <w:rsid w:val="00A239A6"/>
    <w:rsid w:val="00A35D32"/>
    <w:rsid w:val="00A37525"/>
    <w:rsid w:val="00A43205"/>
    <w:rsid w:val="00A6386A"/>
    <w:rsid w:val="00A73E50"/>
    <w:rsid w:val="00A9745F"/>
    <w:rsid w:val="00AB1854"/>
    <w:rsid w:val="00AB2989"/>
    <w:rsid w:val="00AB2CB7"/>
    <w:rsid w:val="00AB2D6C"/>
    <w:rsid w:val="00AB7AFF"/>
    <w:rsid w:val="00AC4B88"/>
    <w:rsid w:val="00AD1A70"/>
    <w:rsid w:val="00AD4C0F"/>
    <w:rsid w:val="00AE62DD"/>
    <w:rsid w:val="00B016E0"/>
    <w:rsid w:val="00B06944"/>
    <w:rsid w:val="00B23E01"/>
    <w:rsid w:val="00B35270"/>
    <w:rsid w:val="00B407E2"/>
    <w:rsid w:val="00B41F97"/>
    <w:rsid w:val="00B4546C"/>
    <w:rsid w:val="00B457E3"/>
    <w:rsid w:val="00B50439"/>
    <w:rsid w:val="00B54278"/>
    <w:rsid w:val="00B65A64"/>
    <w:rsid w:val="00B75C6A"/>
    <w:rsid w:val="00B80049"/>
    <w:rsid w:val="00B82ABD"/>
    <w:rsid w:val="00B83271"/>
    <w:rsid w:val="00BB138B"/>
    <w:rsid w:val="00BD21CD"/>
    <w:rsid w:val="00BD5E74"/>
    <w:rsid w:val="00BD7494"/>
    <w:rsid w:val="00BE16C9"/>
    <w:rsid w:val="00BE55B8"/>
    <w:rsid w:val="00BE7B69"/>
    <w:rsid w:val="00C03AFE"/>
    <w:rsid w:val="00C073DD"/>
    <w:rsid w:val="00C07D7F"/>
    <w:rsid w:val="00C1713A"/>
    <w:rsid w:val="00C30A63"/>
    <w:rsid w:val="00C32484"/>
    <w:rsid w:val="00C34B31"/>
    <w:rsid w:val="00C445E4"/>
    <w:rsid w:val="00C4749F"/>
    <w:rsid w:val="00C56BC8"/>
    <w:rsid w:val="00C57D26"/>
    <w:rsid w:val="00C57E2E"/>
    <w:rsid w:val="00C80AD2"/>
    <w:rsid w:val="00C867CA"/>
    <w:rsid w:val="00C90210"/>
    <w:rsid w:val="00CA36E5"/>
    <w:rsid w:val="00CB4714"/>
    <w:rsid w:val="00CC3439"/>
    <w:rsid w:val="00CC50D5"/>
    <w:rsid w:val="00CD2981"/>
    <w:rsid w:val="00CD720E"/>
    <w:rsid w:val="00CF769C"/>
    <w:rsid w:val="00D20696"/>
    <w:rsid w:val="00D225A8"/>
    <w:rsid w:val="00D26EE7"/>
    <w:rsid w:val="00D45442"/>
    <w:rsid w:val="00D66095"/>
    <w:rsid w:val="00D7165F"/>
    <w:rsid w:val="00D7487C"/>
    <w:rsid w:val="00D809B3"/>
    <w:rsid w:val="00D833D4"/>
    <w:rsid w:val="00D94776"/>
    <w:rsid w:val="00DA549D"/>
    <w:rsid w:val="00DC2910"/>
    <w:rsid w:val="00DC2BE9"/>
    <w:rsid w:val="00DD275E"/>
    <w:rsid w:val="00DD3DA9"/>
    <w:rsid w:val="00DD4F47"/>
    <w:rsid w:val="00DE1149"/>
    <w:rsid w:val="00DE2ECF"/>
    <w:rsid w:val="00E12121"/>
    <w:rsid w:val="00E71DEC"/>
    <w:rsid w:val="00E85B3F"/>
    <w:rsid w:val="00E85F90"/>
    <w:rsid w:val="00E97128"/>
    <w:rsid w:val="00EA273E"/>
    <w:rsid w:val="00EA34D3"/>
    <w:rsid w:val="00EB34B3"/>
    <w:rsid w:val="00ED6BFC"/>
    <w:rsid w:val="00EE408B"/>
    <w:rsid w:val="00EE7110"/>
    <w:rsid w:val="00F05D31"/>
    <w:rsid w:val="00F1668E"/>
    <w:rsid w:val="00F362DA"/>
    <w:rsid w:val="00F379CB"/>
    <w:rsid w:val="00F40199"/>
    <w:rsid w:val="00F444CD"/>
    <w:rsid w:val="00F45249"/>
    <w:rsid w:val="00F5362E"/>
    <w:rsid w:val="00F6295E"/>
    <w:rsid w:val="00F667BF"/>
    <w:rsid w:val="00F91666"/>
    <w:rsid w:val="00FA5F4D"/>
    <w:rsid w:val="00FB1719"/>
    <w:rsid w:val="00FB199B"/>
    <w:rsid w:val="00FD46AA"/>
    <w:rsid w:val="00FE1748"/>
    <w:rsid w:val="00FE2F76"/>
    <w:rsid w:val="00FE4A18"/>
    <w:rsid w:val="00FF63B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5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4088</Words>
  <Characters>23306</Characters>
  <Application>Microsoft Office Word</Application>
  <DocSecurity>0</DocSecurity>
  <Lines>194</Lines>
  <Paragraphs>54</Paragraphs>
  <ScaleCrop>false</ScaleCrop>
  <Company/>
  <LinksUpToDate>false</LinksUpToDate>
  <CharactersWithSpaces>27340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Sy</dc:creator>
  <cp:keywords/>
  <dc:description/>
  <cp:lastModifiedBy>Tien Sy</cp:lastModifiedBy>
  <cp:revision>2</cp:revision>
  <dcterms:created xsi:type="dcterms:W3CDTF">2010-04-29T04:02:00Z</dcterms:created>
  <dcterms:modified xsi:type="dcterms:W3CDTF">2010-04-29T04:03:00Z</dcterms:modified>
</cp:coreProperties>
</file>